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26023">
      <w:pPr>
        <w:pStyle w:val="2"/>
        <w:jc w:val="center"/>
      </w:pPr>
      <w:r>
        <w:t>RS 手咪（RS-01）说明书</w:t>
      </w:r>
    </w:p>
    <w:p w14:paraId="2FA11EE1">
      <w:pPr>
        <w:pStyle w:val="3"/>
      </w:pPr>
      <w:r>
        <w:t>一、RS-01 手咪硬件说明</w:t>
      </w:r>
    </w:p>
    <w:p w14:paraId="3D7B2A27">
      <w:pPr>
        <w:pStyle w:val="18"/>
      </w:pPr>
      <w:r>
        <w:rPr>
          <w:rFonts w:hint="eastAsia" w:eastAsia="等线"/>
          <w:lang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103880" cy="2317115"/>
            <wp:effectExtent l="0" t="0" r="1270" b="6985"/>
            <wp:wrapSquare wrapText="bothSides"/>
            <wp:docPr id="1" name="图片 1" descr="0b5a6268-09cf-4bf7-9054-b213e1aff5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5a6268-09cf-4bf7-9054-b213e1aff54d"/>
                    <pic:cNvPicPr>
                      <a:picLocks noChangeAspect="1"/>
                    </pic:cNvPicPr>
                  </pic:nvPicPr>
                  <pic:blipFill>
                    <a:blip r:embed="rId5"/>
                    <a:stretch>
                      <a:fillRect/>
                    </a:stretch>
                  </pic:blipFill>
                  <pic:spPr>
                    <a:xfrm>
                      <a:off x="0" y="0"/>
                      <a:ext cx="3103880" cy="2317115"/>
                    </a:xfrm>
                    <a:prstGeom prst="rect">
                      <a:avLst/>
                    </a:prstGeom>
                  </pic:spPr>
                </pic:pic>
              </a:graphicData>
            </a:graphic>
          </wp:anchor>
        </w:drawing>
      </w:r>
      <w:r>
        <w:t>RS-01 手咪是一款可通过软件配置的外设，能模拟电脑键盘、鼠标</w:t>
      </w:r>
      <w:r>
        <w:rPr>
          <w:rFonts w:hint="eastAsia"/>
          <w:lang w:val="en-US" w:eastAsia="zh-CN"/>
        </w:rPr>
        <w:t>按键</w:t>
      </w:r>
      <w:r>
        <w:t>操作，适用于通讯、游戏等需便捷触发操作的场景，其物理结构简洁，核心功能通过按键实现，且按键功能可自定义配置。</w:t>
      </w:r>
    </w:p>
    <w:p w14:paraId="49939905">
      <w:pPr>
        <w:pStyle w:val="18"/>
      </w:pPr>
      <w:r>
        <w:t xml:space="preserve">The RS-01 handheld is a software-configurable peripheral that can simulate computer keyboard and mouse </w:t>
      </w:r>
      <w:r>
        <w:rPr>
          <w:rFonts w:hint="eastAsia"/>
          <w:lang w:val="en-US" w:eastAsia="zh-CN"/>
        </w:rPr>
        <w:t xml:space="preserve">keys </w:t>
      </w:r>
      <w:r>
        <w:t>operations. It is suitable for scenarios requiring convenient trigger operations (such as communication, games, etc.). Its physical structure is simple, core functions are implemented via keys, and key functions can be customized.</w:t>
      </w:r>
    </w:p>
    <w:p w14:paraId="4C57B40C">
      <w:pPr>
        <w:pStyle w:val="4"/>
      </w:pPr>
      <w:r>
        <w:t>连接反馈提示（Connection Feedback Prompt）</w:t>
      </w:r>
    </w:p>
    <w:p w14:paraId="2C8C7E75">
      <w:pPr>
        <w:pStyle w:val="18"/>
      </w:pPr>
      <w:r>
        <w:t>手咪与电脑、笔记本或手机成功建立连接时，会发出一段提示音，用于直观反馈连接状态；若未听到提示音，需检查设备接口、连接线是否正常。</w:t>
      </w:r>
    </w:p>
    <w:p w14:paraId="2E29BA3A">
      <w:pPr>
        <w:pStyle w:val="18"/>
      </w:pPr>
      <w:r>
        <w:t>When the handheld successfully establishes a connection with a computer, laptop, or mobile phone, it will emit a prompt sound to intuitively feedback the connection status; if no prompt sound is heard, check whether the device interface and connection cable are normal.</w:t>
      </w:r>
    </w:p>
    <w:p w14:paraId="424189FE">
      <w:pPr>
        <w:pStyle w:val="4"/>
      </w:pPr>
      <w:r>
        <w:t>1. 物理按键（Physical Keys）</w:t>
      </w:r>
    </w:p>
    <w:p w14:paraId="4C39067F">
      <w:pPr>
        <w:pStyle w:val="18"/>
      </w:pPr>
      <w:r>
        <w:t>RS-01 手咪包含 3 个核心物理按键，每个按键有默认初始功能，且后续可通过图 所示的软件自由更改任意键值，具体初始功能如下：</w:t>
      </w:r>
    </w:p>
    <w:p w14:paraId="3BEBFBB9">
      <w:pPr>
        <w:pStyle w:val="18"/>
      </w:pPr>
      <w:r>
        <w:t>The RS-01 handheld includes 3 core physical keys, each with a default initial function, and any key values can be freely changed later via the software shown in Figure. The specific initial functions are as follows:</w:t>
      </w:r>
    </w:p>
    <w:p w14:paraId="4110A65B">
      <w:pPr>
        <w:pStyle w:val="18"/>
        <w:numPr>
          <w:ilvl w:val="0"/>
          <w:numId w:val="1"/>
        </w:numPr>
      </w:pPr>
      <w:r>
        <w:rPr>
          <w:b/>
          <w:bCs/>
        </w:rPr>
        <w:t>PTT 键</w:t>
      </w:r>
      <w:r>
        <w:t>：</w:t>
      </w:r>
      <w:r>
        <w:rPr>
          <w:rFonts w:hint="eastAsia"/>
          <w:lang w:val="en-US" w:eastAsia="zh-CN"/>
        </w:rPr>
        <w:t xml:space="preserve"> 长按开机；</w:t>
      </w:r>
    </w:p>
    <w:p w14:paraId="356EF8AA">
      <w:pPr>
        <w:pStyle w:val="18"/>
        <w:numPr>
          <w:numId w:val="0"/>
        </w:numPr>
        <w:ind w:firstLine="1320" w:firstLineChars="600"/>
      </w:pPr>
      <w:bookmarkStart w:id="0" w:name="_GoBack"/>
      <w:bookmarkEnd w:id="0"/>
      <w:r>
        <w:t>初始为语音交互触发键，按下时启动麦克风声音采集（此时手咪自带指示灯会亮起，提示处于 “采集状态”），松开按键时停止采集并播放已采集的声音；后续可通过软件设置为模拟键盘按键、鼠标</w:t>
      </w:r>
      <w:r>
        <w:rPr>
          <w:rFonts w:hint="eastAsia"/>
          <w:lang w:val="en-US" w:eastAsia="zh-CN"/>
        </w:rPr>
        <w:t>按键</w:t>
      </w:r>
      <w:r>
        <w:t>操作或发送自定义指令；</w:t>
      </w:r>
    </w:p>
    <w:p w14:paraId="61D9774E">
      <w:pPr>
        <w:pStyle w:val="18"/>
        <w:rPr>
          <w:rFonts w:hint="eastAsia" w:ascii="Segoe UI" w:hAnsi="Segoe UI" w:eastAsia="宋体" w:cs="Segoe UI"/>
          <w:i w:val="0"/>
          <w:iCs w:val="0"/>
          <w:caps w:val="0"/>
          <w:color w:val="61666B"/>
          <w:spacing w:val="0"/>
          <w:sz w:val="21"/>
          <w:szCs w:val="21"/>
          <w:shd w:val="clear" w:fill="FFFFFF"/>
          <w:lang w:eastAsia="zh-CN"/>
        </w:rPr>
      </w:pPr>
      <w:r>
        <w:rPr>
          <w:b/>
          <w:bCs/>
        </w:rPr>
        <w:t>PTT Key</w:t>
      </w:r>
      <w:r>
        <w:t xml:space="preserve">: </w:t>
      </w:r>
      <w:r>
        <w:rPr>
          <w:rFonts w:hint="eastAsia"/>
          <w:lang w:val="en-US" w:eastAsia="zh-CN"/>
        </w:rPr>
        <w:t xml:space="preserve"> </w:t>
      </w:r>
      <w:r>
        <w:t>Press and hold to power on</w:t>
      </w:r>
      <w:r>
        <w:rPr>
          <w:rFonts w:hint="eastAsia"/>
          <w:lang w:eastAsia="zh-CN"/>
        </w:rPr>
        <w:t>；</w:t>
      </w:r>
    </w:p>
    <w:p w14:paraId="60276B73">
      <w:pPr>
        <w:pStyle w:val="18"/>
        <w:ind w:firstLine="1100" w:firstLineChars="500"/>
      </w:pPr>
      <w:r>
        <w:t xml:space="preserve">Initially a voice interaction trigger key. When pressed, it starts microphone sound collection (the handheld's built-in indicator light will turn on at this time, indicating a "collection state"); when the key is released, collection stops and the collected sound is played. Later, it can be set to simulate keyboard keys, mouse </w:t>
      </w:r>
      <w:r>
        <w:rPr>
          <w:rFonts w:hint="eastAsia"/>
          <w:lang w:val="en-US" w:eastAsia="zh-CN"/>
        </w:rPr>
        <w:t xml:space="preserve">keys </w:t>
      </w:r>
      <w:r>
        <w:t>operations, or send custom commands via software;</w:t>
      </w:r>
    </w:p>
    <w:p w14:paraId="598D6734">
      <w:pPr>
        <w:pStyle w:val="18"/>
        <w:numPr>
          <w:ilvl w:val="0"/>
          <w:numId w:val="1"/>
        </w:numPr>
      </w:pPr>
      <w:r>
        <w:rPr>
          <w:b/>
          <w:bCs/>
        </w:rPr>
        <w:t>vol + 键</w:t>
      </w:r>
      <w:r>
        <w:t>：初始功能为音量调节键，按下时增加当前设备（如电脑、手机）的音量；后续可通过软件重新配置功能，如 “切换程序”“触发快捷键” 等；</w:t>
      </w:r>
    </w:p>
    <w:p w14:paraId="05206550">
      <w:pPr>
        <w:pStyle w:val="18"/>
      </w:pPr>
      <w:r>
        <w:rPr>
          <w:b/>
          <w:bCs/>
        </w:rPr>
        <w:t>vol+ Key</w:t>
      </w:r>
      <w:r>
        <w:t>: Initially a volume adjustment key; pressing it increases the volume of the current device (e.g., computer, mobile phone). Later, its function can be reconfigured via software (e.g., "switch programs", "trigger shortcuts", etc.);</w:t>
      </w:r>
    </w:p>
    <w:p w14:paraId="0F71EDA8">
      <w:pPr>
        <w:pStyle w:val="18"/>
        <w:numPr>
          <w:ilvl w:val="0"/>
          <w:numId w:val="1"/>
        </w:numPr>
      </w:pPr>
      <w:r>
        <w:rPr>
          <w:b/>
          <w:bCs/>
        </w:rPr>
        <w:t>vol - 键</w:t>
      </w:r>
      <w:r>
        <w:t>：初始功能为音量调节键，按下时减少当前设备的音量；与 vol + 键类似，后续支持软件自定义功能，如 “调节亮度”“返回上一步” 等；</w:t>
      </w:r>
    </w:p>
    <w:p w14:paraId="65E116BA">
      <w:pPr>
        <w:pStyle w:val="18"/>
      </w:pPr>
      <w:r>
        <w:rPr>
          <w:b/>
          <w:bCs/>
        </w:rPr>
        <w:t>vol- Key</w:t>
      </w:r>
      <w:r>
        <w:t>: Initially a volume adjustment key; pressing it decreases the volume of the current device. Similar to the vol+ key, it supports software customization later (e.g., "adjust brightness", "go back one step", etc.).</w:t>
      </w:r>
    </w:p>
    <w:p w14:paraId="24ADC5B4">
      <w:pPr>
        <w:pStyle w:val="3"/>
      </w:pPr>
      <w:r>
        <w:t>二、RS 手咪设置软件界面功能说明</w:t>
      </w:r>
    </w:p>
    <w:p w14:paraId="3806F514">
      <w:pPr>
        <w:pStyle w:val="18"/>
      </w:pPr>
      <w:r>
        <w:rPr>
          <w:rFonts w:hint="eastAsia" w:eastAsia="等线"/>
          <w:lang w:eastAsia="zh-CN"/>
        </w:rPr>
        <w:drawing>
          <wp:inline distT="0" distB="0" distL="114300" distR="114300">
            <wp:extent cx="3197860" cy="2252980"/>
            <wp:effectExtent l="0" t="0" r="2540" b="13970"/>
            <wp:docPr id="2" name="图片 2" descr="d50f76c14a457d31118d49f2e947e8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50f76c14a457d31118d49f2e947e8a5"/>
                    <pic:cNvPicPr>
                      <a:picLocks noChangeAspect="1"/>
                    </pic:cNvPicPr>
                  </pic:nvPicPr>
                  <pic:blipFill>
                    <a:blip r:embed="rId6"/>
                    <a:stretch>
                      <a:fillRect/>
                    </a:stretch>
                  </pic:blipFill>
                  <pic:spPr>
                    <a:xfrm>
                      <a:off x="0" y="0"/>
                      <a:ext cx="3197860" cy="2252980"/>
                    </a:xfrm>
                    <a:prstGeom prst="rect">
                      <a:avLst/>
                    </a:prstGeom>
                  </pic:spPr>
                </pic:pic>
              </a:graphicData>
            </a:graphic>
          </wp:inline>
        </w:drawing>
      </w:r>
      <w:r>
        <w:rPr>
          <w:rFonts w:hint="eastAsia"/>
          <w:lang w:val="en-US" w:eastAsia="zh-CN"/>
        </w:rPr>
        <w:t xml:space="preserve"> </w:t>
      </w:r>
      <w:r>
        <w:rPr>
          <w:rFonts w:hint="eastAsia" w:eastAsia="等线"/>
          <w:lang w:eastAsia="zh-CN"/>
        </w:rPr>
        <w:drawing>
          <wp:inline distT="0" distB="0" distL="114300" distR="114300">
            <wp:extent cx="3190875" cy="2235200"/>
            <wp:effectExtent l="0" t="0" r="9525" b="12700"/>
            <wp:docPr id="3" name="图片 3" descr="247f83021dba8bd0761ca9127688d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47f83021dba8bd0761ca9127688d5fa"/>
                    <pic:cNvPicPr>
                      <a:picLocks noChangeAspect="1"/>
                    </pic:cNvPicPr>
                  </pic:nvPicPr>
                  <pic:blipFill>
                    <a:blip r:embed="rId7"/>
                    <a:stretch>
                      <a:fillRect/>
                    </a:stretch>
                  </pic:blipFill>
                  <pic:spPr>
                    <a:xfrm>
                      <a:off x="0" y="0"/>
                      <a:ext cx="3190875" cy="2235200"/>
                    </a:xfrm>
                    <a:prstGeom prst="rect">
                      <a:avLst/>
                    </a:prstGeom>
                  </pic:spPr>
                </pic:pic>
              </a:graphicData>
            </a:graphic>
          </wp:inline>
        </w:drawing>
      </w:r>
    </w:p>
    <w:p w14:paraId="58211D19">
      <w:pPr>
        <w:pStyle w:val="18"/>
      </w:pPr>
      <w:r>
        <w:t>RS 手咪设置软件是配置 RS-01 手咪物理按键功能的工具，通过软件可将硬件按键与电脑操作（键盘、鼠标指令）关联，实现自定义控制，软件界面分为多个功能区，操作逻辑与硬件按键一一对应。</w:t>
      </w:r>
    </w:p>
    <w:p w14:paraId="6FE56F58">
      <w:pPr>
        <w:pStyle w:val="18"/>
      </w:pPr>
      <w:r>
        <w:t>The RS Handheld Setting Software is a tool for configuring the physical key functions of the RS-01 handheld. It can associate hardware keys with computer operations (keyboard, mouse commands) to achieve custom control. The software interface is divided into multiple functional areas, with an operation logic corresponding to hardware keys one by one (the software interface is shown in Figure 2).</w:t>
      </w:r>
    </w:p>
    <w:p w14:paraId="1194C28E">
      <w:pPr>
        <w:pStyle w:val="4"/>
      </w:pPr>
      <w:r>
        <w:t>1. 顶部栏（Top Bar）</w:t>
      </w:r>
    </w:p>
    <w:p w14:paraId="3E47AF72">
      <w:pPr>
        <w:pStyle w:val="18"/>
      </w:pPr>
      <w:r>
        <w:t>顶部栏为软件基础控制区，用于调用核心操作功能，支持界面语言切换（适配硬件使用场景），具体功能如下：</w:t>
      </w:r>
    </w:p>
    <w:p w14:paraId="4ACF6959">
      <w:pPr>
        <w:pStyle w:val="18"/>
      </w:pPr>
      <w:r>
        <w:t>The top bar is the basic control area of the software, used to call core operation functions and support interface language switching (adapting to hardware usage scenarios), with specific functions as follows:</w:t>
      </w:r>
    </w:p>
    <w:p w14:paraId="20554D84">
      <w:pPr>
        <w:pStyle w:val="18"/>
        <w:numPr>
          <w:ilvl w:val="0"/>
          <w:numId w:val="1"/>
        </w:numPr>
      </w:pPr>
      <w:r>
        <w:t>左侧菜单按钮：展开后可查看 “设备信息”“帮助文档” 等附加选项；</w:t>
      </w:r>
    </w:p>
    <w:p w14:paraId="08907A8D">
      <w:pPr>
        <w:pStyle w:val="18"/>
      </w:pPr>
      <w:r>
        <w:t>Left menu button: After expanding, you can view additional options such as "Device Information" and "Help Document";</w:t>
      </w:r>
    </w:p>
    <w:p w14:paraId="66527AA6">
      <w:pPr>
        <w:pStyle w:val="18"/>
        <w:numPr>
          <w:ilvl w:val="0"/>
          <w:numId w:val="1"/>
        </w:numPr>
      </w:pPr>
      <w:r>
        <w:t>标题栏：中文界面显示 “手咪”，英文界面显示 “handheld”，明确软件用途；</w:t>
      </w:r>
    </w:p>
    <w:p w14:paraId="580C6239">
      <w:pPr>
        <w:pStyle w:val="18"/>
      </w:pPr>
      <w:r>
        <w:t>Title bar: Displays "手咪" (Handheld) in Chinese interface and "handheld" in English interface, clarifying the software's purpose;</w:t>
      </w:r>
    </w:p>
    <w:p w14:paraId="1B9EE0A8">
      <w:pPr>
        <w:pStyle w:val="18"/>
        <w:numPr>
          <w:ilvl w:val="0"/>
          <w:numId w:val="1"/>
        </w:numPr>
      </w:pPr>
      <w:r>
        <w:t>右侧功能按钮：包含 “刷新”（循环箭头图标，用于重新检测设备连接）、“上传”（将配置保存到硬件）、“下载”（读取硬件当前配置）、“用户设置”（保存 / 加载自定义配置方案）、“语言切换”（地球图标，切换中英文界面）。</w:t>
      </w:r>
    </w:p>
    <w:p w14:paraId="33388A00">
      <w:pPr>
        <w:pStyle w:val="18"/>
      </w:pPr>
      <w:r>
        <w:t>Right function buttons: Include "Refresh" (circular arrow icon, used to re-detect device connection), "Upload" (save configuration to hardware), "Download" (read current hardware configuration), "User Settings" (save/load custom configuration schemes), and "Language Switch" (globe icon, switch between Chinese and English interfaces).</w:t>
      </w:r>
    </w:p>
    <w:p w14:paraId="1B78F031">
      <w:pPr>
        <w:pStyle w:val="4"/>
      </w:pPr>
      <w:r>
        <w:t>2. 设备状态与模式选择（Device Status and Mode Selection）</w:t>
      </w:r>
    </w:p>
    <w:p w14:paraId="4B102FCB">
      <w:pPr>
        <w:pStyle w:val="18"/>
      </w:pPr>
      <w:r>
        <w:t>此区域用于确认硬件连接状态，并设置按键触发模式，是软件与硬件联动的基础：</w:t>
      </w:r>
    </w:p>
    <w:p w14:paraId="57AFE850">
      <w:pPr>
        <w:pStyle w:val="18"/>
      </w:pPr>
      <w:r>
        <w:t>This area is used to confirm the hardware connection status and set the key trigger mode, which is the basis for the linkage between software and hardware:</w:t>
      </w:r>
    </w:p>
    <w:p w14:paraId="42B0403E">
      <w:pPr>
        <w:pStyle w:val="18"/>
        <w:numPr>
          <w:ilvl w:val="0"/>
          <w:numId w:val="1"/>
        </w:numPr>
      </w:pPr>
      <w:r>
        <w:t>设备状态：中文界面显示 “设备状态：未连接 / 已连接”（未连接时为红色标识），英文界面显示 “Device status: Not connected/Connected”；若显示 “未连接”，需检查硬件与电脑的连接（如 USB 线），连接成功后会同步发出提示音且状态自动更新；</w:t>
      </w:r>
    </w:p>
    <w:p w14:paraId="0FFE7333">
      <w:pPr>
        <w:pStyle w:val="18"/>
      </w:pPr>
      <w:r>
        <w:t>Device status: Displays "设备状态：未连接 / 已连接" (Not connected is marked in red) in Chinese interface, and "Device status: Not connected/Connected" in English interface; if "Not connected" is displayed, check the connection between hardware and computer (e.g., USB cable). After successful connection, a prompt sound will be emitted simultaneously and the status will update automatically;</w:t>
      </w:r>
    </w:p>
    <w:p w14:paraId="6F582119">
      <w:pPr>
        <w:pStyle w:val="18"/>
        <w:numPr>
          <w:ilvl w:val="0"/>
          <w:numId w:val="1"/>
        </w:numPr>
      </w:pPr>
      <w:r>
        <w:t>操作模式：支持 “连发（Turbo）” 和 “单击（Click）” 切换，“连发” 模式下按键按住时连续发送指令（如游戏中的连续射击），“单击” 模式下按键按一次发送一次指令（如普通键盘按键），可根据硬件使用场景选择。</w:t>
      </w:r>
    </w:p>
    <w:p w14:paraId="720BDB73">
      <w:pPr>
        <w:pStyle w:val="18"/>
      </w:pPr>
      <w:r>
        <w:t>Operation mode: Supports switching between "Turbo" (continuous sending) and "Click" (single sending). In "Turbo" mode, the key sends commands continuously when held down (e.g., continuous shooting in games); in "Click" mode, the key sends a command once per press (e.g., ordinary keyboard keys), which can be selected according to the hardware usage scenario.</w:t>
      </w:r>
    </w:p>
    <w:p w14:paraId="4AA2B190">
      <w:pPr>
        <w:pStyle w:val="4"/>
      </w:pPr>
      <w:r>
        <w:t>3. PTT 及音量按键配置（PTT and Volume Key Configuration）</w:t>
      </w:r>
    </w:p>
    <w:p w14:paraId="33AC3352">
      <w:pPr>
        <w:pStyle w:val="18"/>
      </w:pPr>
      <w:r>
        <w:t>此区域为核心配置区，对应硬件的 3 个物理按键（PTT、vol+、vol-），支持通过图 的软件界面自由更改三个按键的任意键值，可自定义每个按键 “按下” 和 “松开” 时的指令：</w:t>
      </w:r>
    </w:p>
    <w:p w14:paraId="1CCBB674">
      <w:pPr>
        <w:pStyle w:val="18"/>
      </w:pPr>
      <w:r>
        <w:t>This area is the core configuration area, corresponding to the 3 physical keys (PTT, vol+, vol-) of the hardware. It supports freely changing any key values of the three keys via the software interface in Figure, and can customize the commands when each key is "pressed" and "released":</w:t>
      </w:r>
    </w:p>
    <w:p w14:paraId="422AA0FD">
      <w:pPr>
        <w:pStyle w:val="18"/>
        <w:numPr>
          <w:ilvl w:val="0"/>
          <w:numId w:val="1"/>
        </w:numPr>
      </w:pPr>
      <w:r>
        <w:t>按键选择：点击 “PTT”“音量加（Vol+）”“音量减（Vol-）” 按钮，可切换当前配置的硬件按键；</w:t>
      </w:r>
    </w:p>
    <w:p w14:paraId="68E9FF1F">
      <w:pPr>
        <w:pStyle w:val="18"/>
      </w:pPr>
      <w:r>
        <w:t>Key selection: Click the "PTT", "Vol+", and "Vol-" buttons to switch the hardware key currently being configured;</w:t>
      </w:r>
    </w:p>
    <w:p w14:paraId="1A684E78">
      <w:pPr>
        <w:pStyle w:val="18"/>
        <w:numPr>
          <w:ilvl w:val="0"/>
          <w:numId w:val="1"/>
        </w:numPr>
      </w:pPr>
      <w:r>
        <w:t>指令输入框：</w:t>
      </w:r>
    </w:p>
    <w:p w14:paraId="2162AEA0">
      <w:pPr>
        <w:pStyle w:val="18"/>
      </w:pPr>
      <w:r>
        <w:t>Command input boxes:</w:t>
      </w:r>
    </w:p>
    <w:p w14:paraId="5F4C14D2">
      <w:pPr>
        <w:pStyle w:val="18"/>
        <w:numPr>
          <w:ilvl w:val="1"/>
          <w:numId w:val="1"/>
        </w:numPr>
      </w:pPr>
      <w:r>
        <w:t>“按下（Key Down）”：设置按键按下时发送的指令（如键盘 “Enter” 键、十六进制指令），字符长度限制为 0/100；</w:t>
      </w:r>
    </w:p>
    <w:p w14:paraId="584531A9">
      <w:pPr>
        <w:pStyle w:val="18"/>
      </w:pPr>
      <w:r>
        <w:t>"Key Down": Set the command sent when the key is pressed (e.g., keyboard "Enter" key, hexadecimal command), with a character length limit of 0/100;</w:t>
      </w:r>
    </w:p>
    <w:p w14:paraId="1A5E9B02">
      <w:pPr>
        <w:pStyle w:val="18"/>
        <w:numPr>
          <w:ilvl w:val="1"/>
          <w:numId w:val="1"/>
        </w:numPr>
      </w:pPr>
      <w:r>
        <w:t>“松开（Key Up）”：设置按键松开时发送的指令（如键盘 “Ctrl” 键松开），字符长度限制为 0/100；</w:t>
      </w:r>
    </w:p>
    <w:p w14:paraId="48127777">
      <w:pPr>
        <w:pStyle w:val="18"/>
      </w:pPr>
      <w:r>
        <w:t>"Key Up": Set the command sent when the key is released (e.g., keyboard "Ctrl" key release), with a character length limit of 0/100;</w:t>
      </w:r>
    </w:p>
    <w:p w14:paraId="4F60FE90">
      <w:pPr>
        <w:pStyle w:val="18"/>
        <w:numPr>
          <w:ilvl w:val="0"/>
          <w:numId w:val="1"/>
        </w:numPr>
      </w:pPr>
      <w:r>
        <w:t>“Hex” 开关：开启后可输入十六进制格式指令（适配专业控制场景），关闭后可输入普通字符或键盘按键指令（如 “a”“F5”）。</w:t>
      </w:r>
    </w:p>
    <w:p w14:paraId="010DB291">
      <w:pPr>
        <w:pStyle w:val="18"/>
      </w:pPr>
      <w:r>
        <w:t>"Hex" switch: When enabled, you can enter hexadecimal format commands (adapting to professional control scenarios); when disabled, you can enter ordinary characters or keyboard key commands (e.g., "a", "F5").</w:t>
      </w:r>
    </w:p>
    <w:p w14:paraId="6A9BA0A6">
      <w:pPr>
        <w:pStyle w:val="4"/>
      </w:pPr>
      <w:r>
        <w:t>4. 键盘与鼠标模拟区域（Keyboard and Mouse Simulation Area）</w:t>
      </w:r>
    </w:p>
    <w:p w14:paraId="61A39AA1">
      <w:pPr>
        <w:pStyle w:val="18"/>
      </w:pPr>
      <w:r>
        <w:t>此区域提供可视化操作，用于快速添加键盘 / 鼠标指令到上述 “按下 / 松开” 输入框，无需手动输入指令，助力高效更改三个按键的键值：</w:t>
      </w:r>
    </w:p>
    <w:p w14:paraId="0319B765">
      <w:pPr>
        <w:pStyle w:val="18"/>
      </w:pPr>
      <w:r>
        <w:t>This area provides visual operations for quickly adding keyboard/mouse commands to the above "Key Down/Key Up" input boxes, without manual command input, facilitating efficient changes to the key values of the three keys:</w:t>
      </w:r>
    </w:p>
    <w:p w14:paraId="113059FF">
      <w:pPr>
        <w:pStyle w:val="18"/>
        <w:numPr>
          <w:ilvl w:val="0"/>
          <w:numId w:val="1"/>
        </w:numPr>
      </w:pPr>
      <w:r>
        <w:t>键盘模拟区：包含完整键盘按键（Esc、F1-F12、字母键、Shift、Ctrl、Alt 等），点击对应按键，其指令会自动填入当前选中的 “按下” 或 “松开” 输入框；</w:t>
      </w:r>
    </w:p>
    <w:p w14:paraId="608C2088">
      <w:pPr>
        <w:pStyle w:val="18"/>
      </w:pPr>
      <w:r>
        <w:t>Keyboard simulation area: Contains complete keyboard keys (Esc, F1-F12, letter keys, Shift, Ctrl, Alt, etc.). Click the corresponding key, and its command will be automatically filled into the currently selected "Key Down" or "Key Up" input box;</w:t>
      </w:r>
    </w:p>
    <w:p w14:paraId="6F2138C8">
      <w:pPr>
        <w:pStyle w:val="18"/>
        <w:numPr>
          <w:ilvl w:val="0"/>
          <w:numId w:val="1"/>
        </w:numPr>
      </w:pPr>
      <w:r>
        <w:t>鼠标模拟区：包含 “鼠标左键（Mouse Left）”“鼠标右键（Mouse Right）”“鼠标中键（Mouse Middle）”“鼠标 4 键（Mouse Four）”“鼠标 5 键（Mouse Five）”，点击后可将鼠标操作指令添加到输入框，实现硬件按键模拟鼠标功能（如 PTT 键设为鼠标左键点击）。</w:t>
      </w:r>
    </w:p>
    <w:p w14:paraId="46309D02">
      <w:pPr>
        <w:pStyle w:val="18"/>
      </w:pPr>
      <w:r>
        <w:t>Mouse simulation area: Contains "Mouse Left", "Mouse Right", "Mouse Middle", "Mouse Four", and "Mouse Five". After clicking, mouse operation commands can be added to the input box, enabling hardware keys to simulate mouse functions (e.g., setting the PTT key as a mouse left-click).</w:t>
      </w:r>
    </w:p>
    <w:p w14:paraId="52EF3C44">
      <w:pPr>
        <w:pStyle w:val="18"/>
        <w:numPr>
          <w:ilvl w:val="0"/>
          <w:numId w:val="0"/>
        </w:numPr>
        <w:ind w:leftChars="0"/>
      </w:pPr>
    </w:p>
    <w:sectPr>
      <w:footerReference r:id="rId3" w:type="default"/>
      <w:pgSz w:w="11906" w:h="16838"/>
      <w:pgMar w:top="1134" w:right="850" w:bottom="1134" w:left="85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CA1A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F0E5A">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7F0E5A">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288" w:hanging="288"/>
      </w:pPr>
      <w:rPr>
        <w:color w:val="3370FF"/>
        <w:sz w:val="22"/>
        <w:szCs w:val="22"/>
      </w:rPr>
    </w:lvl>
    <w:lvl w:ilvl="1" w:tentative="0">
      <w:start w:val="1"/>
      <w:numFmt w:val="bullet"/>
      <w:lvlText w:val="◦"/>
      <w:lvlJc w:val="left"/>
      <w:pPr>
        <w:ind w:left="720" w:hanging="288"/>
      </w:pPr>
      <w:rPr>
        <w:color w:val="3370FF"/>
        <w:sz w:val="22"/>
        <w:szCs w:val="22"/>
      </w:rPr>
    </w:lvl>
    <w:lvl w:ilvl="2" w:tentative="0">
      <w:start w:val="1"/>
      <w:numFmt w:val="bullet"/>
      <w:lvlText w:val="▪"/>
      <w:lvlJc w:val="left"/>
      <w:pPr>
        <w:ind w:left="1152" w:hanging="288"/>
      </w:pPr>
      <w:rPr>
        <w:color w:val="3370FF"/>
        <w:sz w:val="22"/>
        <w:szCs w:val="22"/>
      </w:rPr>
    </w:lvl>
    <w:lvl w:ilvl="3" w:tentative="0">
      <w:start w:val="1"/>
      <w:numFmt w:val="bullet"/>
      <w:lvlText w:val="•"/>
      <w:lvlJc w:val="left"/>
      <w:pPr>
        <w:ind w:left="1583" w:hanging="288"/>
      </w:pPr>
      <w:rPr>
        <w:color w:val="3370FF"/>
        <w:sz w:val="22"/>
        <w:szCs w:val="22"/>
      </w:rPr>
    </w:lvl>
    <w:lvl w:ilvl="4" w:tentative="0">
      <w:start w:val="1"/>
      <w:numFmt w:val="bullet"/>
      <w:lvlText w:val="◦"/>
      <w:lvlJc w:val="left"/>
      <w:pPr>
        <w:ind w:left="2015" w:hanging="288"/>
      </w:pPr>
      <w:rPr>
        <w:color w:val="3370FF"/>
        <w:sz w:val="22"/>
        <w:szCs w:val="22"/>
      </w:rPr>
    </w:lvl>
    <w:lvl w:ilvl="5" w:tentative="0">
      <w:start w:val="1"/>
      <w:numFmt w:val="bullet"/>
      <w:lvlText w:val="▪"/>
      <w:lvlJc w:val="left"/>
      <w:pPr>
        <w:ind w:left="2448" w:hanging="288"/>
      </w:pPr>
      <w:rPr>
        <w:color w:val="3370FF"/>
        <w:sz w:val="22"/>
        <w:szCs w:val="22"/>
      </w:rPr>
    </w:lvl>
    <w:lvl w:ilvl="6" w:tentative="0">
      <w:start w:val="1"/>
      <w:numFmt w:val="bullet"/>
      <w:lvlText w:val="•"/>
      <w:lvlJc w:val="left"/>
      <w:pPr>
        <w:ind w:left="2879" w:hanging="288"/>
      </w:pPr>
      <w:rPr>
        <w:color w:val="3370FF"/>
        <w:sz w:val="22"/>
        <w:szCs w:val="22"/>
      </w:rPr>
    </w:lvl>
    <w:lvl w:ilvl="7" w:tentative="0">
      <w:start w:val="1"/>
      <w:numFmt w:val="bullet"/>
      <w:lvlText w:val="◦"/>
      <w:lvlJc w:val="left"/>
      <w:pPr>
        <w:ind w:left="3312" w:hanging="288"/>
      </w:pPr>
      <w:rPr>
        <w:color w:val="3370FF"/>
        <w:sz w:val="22"/>
        <w:szCs w:val="22"/>
      </w:rPr>
    </w:lvl>
    <w:lvl w:ilvl="8" w:tentative="0">
      <w:start w:val="1"/>
      <w:numFmt w:val="bullet"/>
      <w:lvlText w:val="▪"/>
      <w:lvlJc w:val="left"/>
      <w:pPr>
        <w:ind w:left="3744" w:hanging="288"/>
      </w:pPr>
      <w:rPr>
        <w:color w:val="3370FF"/>
        <w:sz w:val="22"/>
        <w:szCs w:val="22"/>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5"/>
  </w:compat>
  <w:rsids>
    <w:rsidRoot w:val="00000000"/>
    <w:rsid w:val="025A376A"/>
    <w:rsid w:val="11112864"/>
    <w:rsid w:val="1C7B7D6E"/>
    <w:rsid w:val="1F2111C5"/>
    <w:rsid w:val="2D531AFA"/>
    <w:rsid w:val="37DE5379"/>
    <w:rsid w:val="4C5F3E52"/>
    <w:rsid w:val="54A454D1"/>
    <w:rsid w:val="576F1DC6"/>
    <w:rsid w:val="69670B4F"/>
    <w:rsid w:val="73C135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footnote text"/>
    <w:link w:val="17"/>
    <w:semiHidden/>
    <w:unhideWhenUsed/>
    <w:uiPriority w:val="99"/>
    <w:pPr>
      <w:spacing w:after="0" w:line="240" w:lineRule="auto"/>
    </w:pPr>
    <w:rPr>
      <w:rFonts w:asciiTheme="minorHAnsi" w:hAnsiTheme="minorHAnsi" w:eastAsiaTheme="minorEastAsia" w:cstheme="minorBidi"/>
      <w:sz w:val="20"/>
      <w:szCs w:val="20"/>
    </w:rPr>
  </w:style>
  <w:style w:type="paragraph" w:styleId="11">
    <w:name w:val="Title"/>
    <w:qFormat/>
    <w:uiPriority w:val="0"/>
    <w:pPr>
      <w:spacing w:before="480" w:after="480" w:line="288" w:lineRule="auto"/>
      <w:ind w:left="0"/>
    </w:pPr>
    <w:rPr>
      <w:rFonts w:ascii="Arial" w:hAnsi="Arial" w:eastAsia="等线" w:cs="Arial"/>
      <w:b/>
      <w:bCs/>
      <w:sz w:val="52"/>
      <w:szCs w:val="52"/>
    </w:rPr>
  </w:style>
  <w:style w:type="character" w:styleId="14">
    <w:name w:val="Hyperlink"/>
    <w:unhideWhenUsed/>
    <w:qFormat/>
    <w:uiPriority w:val="99"/>
    <w:rPr>
      <w:color w:val="0563C1"/>
      <w:u w:val="single"/>
    </w:rPr>
  </w:style>
  <w:style w:type="character" w:styleId="15">
    <w:name w:val="footnote reference"/>
    <w:semiHidden/>
    <w:unhideWhenUsed/>
    <w:uiPriority w:val="99"/>
    <w:rPr>
      <w:vertAlign w:val="superscript"/>
    </w:rPr>
  </w:style>
  <w:style w:type="paragraph" w:styleId="16">
    <w:name w:val="List Paragraph"/>
    <w:qFormat/>
    <w:uiPriority w:val="0"/>
    <w:rPr>
      <w:rFonts w:asciiTheme="minorHAnsi" w:hAnsiTheme="minorHAnsi" w:eastAsiaTheme="minorEastAsia" w:cstheme="minorBidi"/>
      <w:sz w:val="21"/>
      <w:szCs w:val="22"/>
    </w:rPr>
  </w:style>
  <w:style w:type="character" w:customStyle="1" w:styleId="17">
    <w:name w:val="Footnote Text Char"/>
    <w:link w:val="10"/>
    <w:semiHidden/>
    <w:unhideWhenUsed/>
    <w:qFormat/>
    <w:uiPriority w:val="99"/>
    <w:rPr>
      <w:sz w:val="20"/>
      <w:szCs w:val="20"/>
    </w:rPr>
  </w:style>
  <w:style w:type="paragraph" w:customStyle="1" w:styleId="18">
    <w:name w:val="_Style 13"/>
    <w:qFormat/>
    <w:uiPriority w:val="0"/>
    <w:pPr>
      <w:spacing w:before="120" w:after="120" w:line="288" w:lineRule="auto"/>
      <w:ind w:left="0"/>
      <w:jc w:val="left"/>
    </w:pPr>
    <w:rPr>
      <w:rFonts w:ascii="Arial" w:hAnsi="Arial" w:eastAsia="等线" w:cs="Arial"/>
      <w:sz w:val="22"/>
      <w:szCs w:val="22"/>
    </w:rPr>
  </w:style>
  <w:style w:type="paragraph" w:customStyle="1" w:styleId="19">
    <w:name w:val="_Style 14"/>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2373</Words>
  <Characters>6482</Characters>
  <TotalTime>2</TotalTime>
  <ScaleCrop>false</ScaleCrop>
  <LinksUpToDate>false</LinksUpToDate>
  <CharactersWithSpaces>7383</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2025-09-25T07:35:00Z</dcterms:created>
  <dc:creator>Un-named</dc:creator>
  <cp:lastModifiedBy>CODER</cp:lastModifiedBy>
  <cp:lastPrinted>2025-09-25T07:47:00Z</cp:lastPrinted>
  <dcterms:modified xsi:type="dcterms:W3CDTF">2025-11-01T11:56:27Z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eyJoZGlkIjoiOWRhMjM4YTE3MjcyNjg0YThiYWE5Y2M4YTQ5MzRmNDYiLCJ1c2VySWQiOiI1MTc1NDE3NDIifQ==</vt:lpwstr>
  </property>
  <property fmtid="{D5CDD505-2E9C-101B-9397-08002B2CF9AE}" pid="3" name="KSOProductBuildVer">
    <vt:lpwstr>2052-12.1.0.23542</vt:lpwstr>
  </property>
  <property fmtid="{D5CDD505-2E9C-101B-9397-08002B2CF9AE}" pid="4" name="ICV">
    <vt:lpwstr>7BD988D1DEF14D4DBD969DA5E3DDAE50_12</vt:lpwstr>
  </property>
</Properties>
</file>